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0E039" w14:textId="77777777" w:rsidR="00977A6A" w:rsidRPr="00977A6A" w:rsidRDefault="00977A6A" w:rsidP="00977A6A">
      <w:pPr>
        <w:jc w:val="both"/>
        <w:rPr>
          <w:rFonts w:ascii="Century Gothic" w:hAnsi="Century Gothic"/>
          <w:b/>
          <w:bCs/>
          <w:sz w:val="20"/>
          <w:szCs w:val="20"/>
          <w:lang w:val="es-MX"/>
        </w:rPr>
      </w:pPr>
      <w:r w:rsidRPr="00977A6A">
        <w:rPr>
          <w:rFonts w:ascii="Century Gothic" w:hAnsi="Century Gothic"/>
          <w:b/>
          <w:bCs/>
          <w:sz w:val="20"/>
          <w:szCs w:val="20"/>
          <w:lang w:val="es-MX"/>
        </w:rPr>
        <w:t>1. NATURALEZA DE LA MODIFICACIÓN CONTRACTUAL</w:t>
      </w:r>
    </w:p>
    <w:p w14:paraId="19B6D662"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sz w:val="20"/>
          <w:szCs w:val="20"/>
          <w:lang w:val="es-MX"/>
        </w:rPr>
        <w:t xml:space="preserve">Se requiere precisar de manera expresa que la modificación propuesta corresponde a un </w:t>
      </w:r>
      <w:r w:rsidRPr="00977A6A">
        <w:rPr>
          <w:rFonts w:ascii="Century Gothic" w:hAnsi="Century Gothic"/>
          <w:b/>
          <w:bCs/>
          <w:sz w:val="20"/>
          <w:szCs w:val="20"/>
          <w:lang w:val="es-MX"/>
        </w:rPr>
        <w:t>ajuste de especificaciones técnicas derivado del diagnóstico del proyecto en el marco de la FASE I</w:t>
      </w:r>
      <w:r w:rsidRPr="00977A6A">
        <w:rPr>
          <w:rFonts w:ascii="Century Gothic" w:hAnsi="Century Gothic"/>
          <w:sz w:val="20"/>
          <w:szCs w:val="20"/>
          <w:lang w:val="es-MX"/>
        </w:rPr>
        <w:t>, indicando claramente las condiciones técnicas identificadas en campo que dieron origen a la misma, tales como fisuración, presencia de humedad, irregularidades en la superficie y condiciones de la subbase, entre otras, evidenciando su relación directa con los ajustes técnicos adoptados.</w:t>
      </w:r>
    </w:p>
    <w:p w14:paraId="164B21C1"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sz w:val="20"/>
          <w:szCs w:val="20"/>
          <w:lang w:val="es-MX"/>
        </w:rPr>
        <w:t xml:space="preserve">En este sentido, se debe dejar constancia de que los ítems NP1, NP2 y NP3 corresponden a una </w:t>
      </w:r>
      <w:r w:rsidRPr="00977A6A">
        <w:rPr>
          <w:rFonts w:ascii="Century Gothic" w:hAnsi="Century Gothic"/>
          <w:b/>
          <w:bCs/>
          <w:sz w:val="20"/>
          <w:szCs w:val="20"/>
          <w:lang w:val="es-MX"/>
        </w:rPr>
        <w:t>sustitución técnica de los ítems contractuales 2.1, 2.2 y 2.3</w:t>
      </w:r>
      <w:r w:rsidRPr="00977A6A">
        <w:rPr>
          <w:rFonts w:ascii="Century Gothic" w:hAnsi="Century Gothic"/>
          <w:sz w:val="20"/>
          <w:szCs w:val="20"/>
          <w:lang w:val="es-MX"/>
        </w:rPr>
        <w:t>, y no a la incorporación de ítems no previstos en sentido estricto, precisando que los ítems originalmente contemplados no serán ejecutados.</w:t>
      </w:r>
    </w:p>
    <w:p w14:paraId="5B5AACC6"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sz w:val="20"/>
          <w:szCs w:val="20"/>
          <w:lang w:val="es-MX"/>
        </w:rPr>
        <w:t xml:space="preserve">Así mismo, se deberá dejar expresa constancia de que la modificación </w:t>
      </w:r>
      <w:r w:rsidRPr="00977A6A">
        <w:rPr>
          <w:rFonts w:ascii="Century Gothic" w:hAnsi="Century Gothic"/>
          <w:b/>
          <w:bCs/>
          <w:sz w:val="20"/>
          <w:szCs w:val="20"/>
          <w:lang w:val="es-MX"/>
        </w:rPr>
        <w:t>no altera el objeto contractual</w:t>
      </w:r>
      <w:r w:rsidRPr="00977A6A">
        <w:rPr>
          <w:rFonts w:ascii="Century Gothic" w:hAnsi="Century Gothic"/>
          <w:sz w:val="20"/>
          <w:szCs w:val="20"/>
          <w:lang w:val="es-MX"/>
        </w:rPr>
        <w:t xml:space="preserve">, </w:t>
      </w:r>
      <w:r w:rsidRPr="00977A6A">
        <w:rPr>
          <w:rFonts w:ascii="Century Gothic" w:hAnsi="Century Gothic"/>
          <w:b/>
          <w:bCs/>
          <w:sz w:val="20"/>
          <w:szCs w:val="20"/>
          <w:lang w:val="es-MX"/>
        </w:rPr>
        <w:t>no modifica condiciones esenciales del proceso de selección</w:t>
      </w:r>
      <w:r w:rsidRPr="00977A6A">
        <w:rPr>
          <w:rFonts w:ascii="Century Gothic" w:hAnsi="Century Gothic"/>
          <w:sz w:val="20"/>
          <w:szCs w:val="20"/>
          <w:lang w:val="es-MX"/>
        </w:rPr>
        <w:t xml:space="preserve">, y </w:t>
      </w:r>
      <w:r w:rsidRPr="00977A6A">
        <w:rPr>
          <w:rFonts w:ascii="Century Gothic" w:hAnsi="Century Gothic"/>
          <w:b/>
          <w:bCs/>
          <w:sz w:val="20"/>
          <w:szCs w:val="20"/>
          <w:lang w:val="es-MX"/>
        </w:rPr>
        <w:t>garantiza el mantenimiento o mejora del desempeño técnico y funcional de la infraestructura objeto de intervención</w:t>
      </w:r>
      <w:r w:rsidRPr="00977A6A">
        <w:rPr>
          <w:rFonts w:ascii="Century Gothic" w:hAnsi="Century Gothic"/>
          <w:sz w:val="20"/>
          <w:szCs w:val="20"/>
          <w:lang w:val="es-MX"/>
        </w:rPr>
        <w:t>.</w:t>
      </w:r>
    </w:p>
    <w:p w14:paraId="40A30298" w14:textId="30C0BE9A" w:rsidR="00977A6A" w:rsidRDefault="00977A6A" w:rsidP="00977A6A">
      <w:pPr>
        <w:jc w:val="both"/>
        <w:rPr>
          <w:rFonts w:ascii="Century Gothic" w:hAnsi="Century Gothic"/>
          <w:sz w:val="20"/>
          <w:szCs w:val="20"/>
          <w:lang w:val="es-MX"/>
        </w:rPr>
      </w:pPr>
    </w:p>
    <w:p w14:paraId="5EEDB20F" w14:textId="02B1DE42" w:rsidR="000177FD" w:rsidRPr="000177FD" w:rsidRDefault="000177FD" w:rsidP="00977A6A">
      <w:pPr>
        <w:jc w:val="both"/>
        <w:rPr>
          <w:rFonts w:ascii="Century Gothic" w:hAnsi="Century Gothic"/>
          <w:b/>
          <w:bCs/>
          <w:sz w:val="20"/>
          <w:szCs w:val="20"/>
          <w:lang w:val="es-MX"/>
        </w:rPr>
      </w:pPr>
      <w:r w:rsidRPr="000177FD">
        <w:rPr>
          <w:rFonts w:ascii="Century Gothic" w:hAnsi="Century Gothic"/>
          <w:b/>
          <w:bCs/>
          <w:sz w:val="20"/>
          <w:szCs w:val="20"/>
          <w:lang w:val="es-MX"/>
        </w:rPr>
        <w:t xml:space="preserve">RECOMENDACIÓN </w:t>
      </w:r>
    </w:p>
    <w:p w14:paraId="3CFFC9E0" w14:textId="77777777" w:rsidR="000177FD" w:rsidRPr="000177FD" w:rsidRDefault="000177FD" w:rsidP="000177FD">
      <w:pPr>
        <w:jc w:val="both"/>
        <w:rPr>
          <w:rFonts w:ascii="Century Gothic" w:hAnsi="Century Gothic"/>
          <w:sz w:val="20"/>
          <w:szCs w:val="20"/>
          <w:lang w:val="es-MX"/>
        </w:rPr>
      </w:pPr>
      <w:r w:rsidRPr="000177FD">
        <w:rPr>
          <w:rFonts w:ascii="Century Gothic" w:hAnsi="Century Gothic"/>
          <w:sz w:val="20"/>
          <w:szCs w:val="20"/>
          <w:lang w:val="es-MX"/>
        </w:rPr>
        <w:t>La presente modificación corresponde a un ajuste de especificaciones técnicas derivado del diagnóstico del proyecto realizado en el marco de la FASE I, conforme a lo establecido en el Anexo Técnico del contrato, el cual incluyó el reconocimiento técnico del área de intervención, la verificación de condiciones existentes y el análisis de variables constructivas relevantes para la adecuada ejecución del proyecto.</w:t>
      </w:r>
    </w:p>
    <w:p w14:paraId="3BF0717D" w14:textId="77777777" w:rsidR="000177FD" w:rsidRPr="000177FD" w:rsidRDefault="000177FD" w:rsidP="000177FD">
      <w:pPr>
        <w:jc w:val="both"/>
        <w:rPr>
          <w:rFonts w:ascii="Century Gothic" w:hAnsi="Century Gothic"/>
          <w:sz w:val="20"/>
          <w:szCs w:val="20"/>
          <w:lang w:val="es-MX"/>
        </w:rPr>
      </w:pPr>
      <w:r w:rsidRPr="000177FD">
        <w:rPr>
          <w:rFonts w:ascii="Century Gothic" w:hAnsi="Century Gothic"/>
          <w:sz w:val="20"/>
          <w:szCs w:val="20"/>
          <w:lang w:val="es-MX"/>
        </w:rPr>
        <w:t>Como resultado de dicho diagnóstico, se identificaron condiciones técnicas en campo tales como fisuración de la superficie existente, presencia de humedad, irregularidades en la nivelación y condiciones de la subbase, entre otras, las cuales inciden directamente en el comportamiento estructural y funcional de la losa proyectada. En atención a lo anterior, se definieron ajustes técnicos orientados a garantizar la durabilidad, estabilidad y adecuado desempeño de la infraestructura.</w:t>
      </w:r>
    </w:p>
    <w:p w14:paraId="123E9D75" w14:textId="77777777" w:rsidR="000177FD" w:rsidRPr="000177FD" w:rsidRDefault="000177FD" w:rsidP="000177FD">
      <w:pPr>
        <w:jc w:val="both"/>
        <w:rPr>
          <w:rFonts w:ascii="Century Gothic" w:hAnsi="Century Gothic"/>
          <w:sz w:val="20"/>
          <w:szCs w:val="20"/>
          <w:lang w:val="es-MX"/>
        </w:rPr>
      </w:pPr>
      <w:r w:rsidRPr="000177FD">
        <w:rPr>
          <w:rFonts w:ascii="Century Gothic" w:hAnsi="Century Gothic"/>
          <w:sz w:val="20"/>
          <w:szCs w:val="20"/>
          <w:lang w:val="es-MX"/>
        </w:rPr>
        <w:t>En este sentido, se deja expresa constancia de que los ítems NP1, NP2 y NP3 corresponden a una sustitución técnica de los ítems contractuales 2.1, 2.2 y 2.3, respectivamente, y no a la incorporación de actividades nuevas no previstas en sentido estricto. En consecuencia, los ítems originalmente contemplados en el contrato no serán ejecutados, al ser reemplazados por las soluciones técnicas adoptadas en la presente modificación.</w:t>
      </w:r>
    </w:p>
    <w:p w14:paraId="072B4B34" w14:textId="77777777" w:rsidR="000177FD" w:rsidRPr="000177FD" w:rsidRDefault="000177FD" w:rsidP="000177FD">
      <w:pPr>
        <w:jc w:val="both"/>
        <w:rPr>
          <w:rFonts w:ascii="Century Gothic" w:hAnsi="Century Gothic"/>
          <w:sz w:val="20"/>
          <w:szCs w:val="20"/>
          <w:lang w:val="es-MX"/>
        </w:rPr>
      </w:pPr>
      <w:r w:rsidRPr="000177FD">
        <w:rPr>
          <w:rFonts w:ascii="Century Gothic" w:hAnsi="Century Gothic"/>
          <w:sz w:val="20"/>
          <w:szCs w:val="20"/>
          <w:lang w:val="es-MX"/>
        </w:rPr>
        <w:t>Así mismo, se precisa que la presente modificación constituye un ajuste de especificaciones técnicas del diseño inicialmente previsto, sin que ello implique una alteración del objeto contractual ni de las condiciones esenciales del proceso de selección. Por el contrario, los ajustes adoptados buscan garantizar condiciones equivalentes o superiores en términos de desempeño técnico, durabilidad y funcionalidad de la infraestructura objeto de intervención.</w:t>
      </w:r>
    </w:p>
    <w:p w14:paraId="22F0B820" w14:textId="77777777" w:rsidR="000177FD" w:rsidRPr="000177FD" w:rsidRDefault="000177FD" w:rsidP="000177FD">
      <w:pPr>
        <w:jc w:val="both"/>
        <w:rPr>
          <w:rFonts w:ascii="Century Gothic" w:hAnsi="Century Gothic"/>
          <w:sz w:val="20"/>
          <w:szCs w:val="20"/>
          <w:lang w:val="es-MX"/>
        </w:rPr>
      </w:pPr>
      <w:r w:rsidRPr="000177FD">
        <w:rPr>
          <w:rFonts w:ascii="Century Gothic" w:hAnsi="Century Gothic"/>
          <w:sz w:val="20"/>
          <w:szCs w:val="20"/>
          <w:lang w:val="es-MX"/>
        </w:rPr>
        <w:t>En consecuencia, la modificación se enmarca dentro de los principios de planeación, eficiencia y responsabilidad, al corresponder a una decisión técnica sustentada en el diagnóstico del proyecto y orientada a asegurar la adecuada ejecución del contrato y la calidad del resultado final.</w:t>
      </w:r>
    </w:p>
    <w:p w14:paraId="54B75EF5" w14:textId="77777777" w:rsidR="000177FD" w:rsidRDefault="000177FD" w:rsidP="00977A6A">
      <w:pPr>
        <w:jc w:val="both"/>
        <w:rPr>
          <w:rFonts w:ascii="Century Gothic" w:hAnsi="Century Gothic"/>
          <w:sz w:val="20"/>
          <w:szCs w:val="20"/>
          <w:lang w:val="es-MX"/>
        </w:rPr>
      </w:pPr>
    </w:p>
    <w:p w14:paraId="62095ECE" w14:textId="77777777" w:rsidR="000177FD" w:rsidRPr="00977A6A" w:rsidRDefault="000177FD" w:rsidP="00977A6A">
      <w:pPr>
        <w:jc w:val="both"/>
        <w:rPr>
          <w:rFonts w:ascii="Century Gothic" w:hAnsi="Century Gothic"/>
          <w:sz w:val="20"/>
          <w:szCs w:val="20"/>
          <w:lang w:val="es-MX"/>
        </w:rPr>
      </w:pPr>
    </w:p>
    <w:p w14:paraId="48A752D1" w14:textId="77777777" w:rsidR="00977A6A" w:rsidRPr="00977A6A" w:rsidRDefault="00977A6A" w:rsidP="00977A6A">
      <w:pPr>
        <w:jc w:val="both"/>
        <w:rPr>
          <w:rFonts w:ascii="Century Gothic" w:hAnsi="Century Gothic"/>
          <w:b/>
          <w:bCs/>
          <w:sz w:val="20"/>
          <w:szCs w:val="20"/>
          <w:lang w:val="es-MX"/>
        </w:rPr>
      </w:pPr>
      <w:r w:rsidRPr="00977A6A">
        <w:rPr>
          <w:rFonts w:ascii="Century Gothic" w:hAnsi="Century Gothic"/>
          <w:b/>
          <w:bCs/>
          <w:sz w:val="20"/>
          <w:szCs w:val="20"/>
          <w:lang w:val="es-MX"/>
        </w:rPr>
        <w:t>2. PRESUPUESTO – ÍTEMS SUSTITUIDOS</w:t>
      </w:r>
    </w:p>
    <w:p w14:paraId="5620EE59"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sz w:val="20"/>
          <w:szCs w:val="20"/>
          <w:lang w:val="es-MX"/>
        </w:rPr>
        <w:t>Si bien la sustitución de los ítems contractuales está debidamente explicada en la solicitud modificatoria y en los informes técnicos, en el presupuesto los ítems 2.1, 2.2 y 2.3 aparecen en valor cero sin anotación expresa.</w:t>
      </w:r>
    </w:p>
    <w:p w14:paraId="48649EAE"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b/>
          <w:bCs/>
          <w:sz w:val="20"/>
          <w:szCs w:val="20"/>
          <w:lang w:val="es-MX"/>
        </w:rPr>
        <w:t>Observación:</w:t>
      </w:r>
      <w:r w:rsidRPr="00977A6A">
        <w:rPr>
          <w:rFonts w:ascii="Century Gothic" w:hAnsi="Century Gothic"/>
          <w:sz w:val="20"/>
          <w:szCs w:val="20"/>
          <w:lang w:val="es-MX"/>
        </w:rPr>
        <w:br/>
        <w:t xml:space="preserve">Se recomienda incorporar en el presupuesto una </w:t>
      </w:r>
      <w:r w:rsidRPr="00977A6A">
        <w:rPr>
          <w:rFonts w:ascii="Century Gothic" w:hAnsi="Century Gothic"/>
          <w:b/>
          <w:bCs/>
          <w:sz w:val="20"/>
          <w:szCs w:val="20"/>
          <w:lang w:val="es-MX"/>
        </w:rPr>
        <w:t>nota expresa</w:t>
      </w:r>
      <w:r w:rsidRPr="00977A6A">
        <w:rPr>
          <w:rFonts w:ascii="Century Gothic" w:hAnsi="Century Gothic"/>
          <w:sz w:val="20"/>
          <w:szCs w:val="20"/>
          <w:lang w:val="es-MX"/>
        </w:rPr>
        <w:t xml:space="preserve"> que indique que los ítems 2.1, 2.2 y 2.3 fueron sustituidos por NP1, NP2 y NP3 y no serán ejecutados, con el fin de garantizar la trazabilidad documental.</w:t>
      </w:r>
    </w:p>
    <w:p w14:paraId="57284496" w14:textId="02B6900C" w:rsidR="00977A6A" w:rsidRDefault="00977A6A" w:rsidP="00977A6A">
      <w:pPr>
        <w:jc w:val="both"/>
        <w:rPr>
          <w:rFonts w:ascii="Century Gothic" w:hAnsi="Century Gothic"/>
          <w:sz w:val="20"/>
          <w:szCs w:val="20"/>
          <w:lang w:val="es-MX"/>
        </w:rPr>
      </w:pPr>
    </w:p>
    <w:p w14:paraId="7B28CF4B" w14:textId="73448110" w:rsidR="000177FD" w:rsidRPr="000177FD" w:rsidRDefault="000177FD" w:rsidP="00977A6A">
      <w:pPr>
        <w:jc w:val="both"/>
        <w:rPr>
          <w:rFonts w:ascii="Century Gothic" w:hAnsi="Century Gothic"/>
          <w:b/>
          <w:bCs/>
          <w:sz w:val="20"/>
          <w:szCs w:val="20"/>
          <w:lang w:val="es-MX"/>
        </w:rPr>
      </w:pPr>
      <w:r w:rsidRPr="000177FD">
        <w:rPr>
          <w:rFonts w:ascii="Century Gothic" w:hAnsi="Century Gothic"/>
          <w:b/>
          <w:bCs/>
          <w:sz w:val="20"/>
          <w:szCs w:val="20"/>
          <w:lang w:val="es-MX"/>
        </w:rPr>
        <w:t xml:space="preserve">RECOMENDACIÓN </w:t>
      </w:r>
    </w:p>
    <w:p w14:paraId="11F01ACB" w14:textId="1B221F8A" w:rsidR="000177FD" w:rsidRPr="00977A6A" w:rsidRDefault="000177FD" w:rsidP="00977A6A">
      <w:pPr>
        <w:jc w:val="both"/>
        <w:rPr>
          <w:rFonts w:ascii="Century Gothic" w:hAnsi="Century Gothic"/>
          <w:sz w:val="20"/>
          <w:szCs w:val="20"/>
          <w:lang w:val="es-MX"/>
        </w:rPr>
      </w:pPr>
      <w:r w:rsidRPr="000177FD">
        <w:rPr>
          <w:rFonts w:ascii="Century Gothic" w:hAnsi="Century Gothic"/>
          <w:b/>
          <w:bCs/>
          <w:sz w:val="20"/>
          <w:szCs w:val="20"/>
        </w:rPr>
        <w:t>Nota:</w:t>
      </w:r>
      <w:r w:rsidRPr="000177FD">
        <w:rPr>
          <w:rFonts w:ascii="Century Gothic" w:hAnsi="Century Gothic"/>
          <w:sz w:val="20"/>
          <w:szCs w:val="20"/>
        </w:rPr>
        <w:t xml:space="preserve"> Los ítems 2.1, 2.2 y 2.3 del presupuesto contractual no serán ejecutados, en razón a su sustitución técnica por los ítems NP1, NP2 y NP3 definidos en la presente modificación.</w:t>
      </w:r>
    </w:p>
    <w:p w14:paraId="3EDC245B" w14:textId="77777777" w:rsidR="00977A6A" w:rsidRPr="00977A6A" w:rsidRDefault="00977A6A" w:rsidP="00977A6A">
      <w:pPr>
        <w:jc w:val="both"/>
        <w:rPr>
          <w:rFonts w:ascii="Century Gothic" w:hAnsi="Century Gothic"/>
          <w:b/>
          <w:bCs/>
          <w:sz w:val="20"/>
          <w:szCs w:val="20"/>
          <w:lang w:val="es-MX"/>
        </w:rPr>
      </w:pPr>
      <w:r w:rsidRPr="00977A6A">
        <w:rPr>
          <w:rFonts w:ascii="Century Gothic" w:hAnsi="Century Gothic"/>
          <w:b/>
          <w:bCs/>
          <w:sz w:val="20"/>
          <w:szCs w:val="20"/>
          <w:lang w:val="es-MX"/>
        </w:rPr>
        <w:t>3. INCONSISTENCIA EN EL ÍTEM NP3 (APU – ACTA – PRESUPUESTO)</w:t>
      </w:r>
    </w:p>
    <w:p w14:paraId="1E6B862F"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sz w:val="20"/>
          <w:szCs w:val="20"/>
          <w:lang w:val="es-MX"/>
        </w:rPr>
        <w:t>Se identifica inconsistencia en el valor unitario del ítem NP3 entre los diferentes documentos del expediente:</w:t>
      </w:r>
    </w:p>
    <w:p w14:paraId="1E078BB9" w14:textId="77777777" w:rsidR="00977A6A" w:rsidRPr="00977A6A" w:rsidRDefault="00977A6A" w:rsidP="00977A6A">
      <w:pPr>
        <w:numPr>
          <w:ilvl w:val="0"/>
          <w:numId w:val="6"/>
        </w:numPr>
        <w:jc w:val="both"/>
        <w:rPr>
          <w:rFonts w:ascii="Century Gothic" w:hAnsi="Century Gothic"/>
          <w:sz w:val="20"/>
          <w:szCs w:val="20"/>
          <w:lang w:val="es-MX"/>
        </w:rPr>
      </w:pPr>
      <w:r w:rsidRPr="00977A6A">
        <w:rPr>
          <w:rFonts w:ascii="Century Gothic" w:hAnsi="Century Gothic"/>
          <w:sz w:val="20"/>
          <w:szCs w:val="20"/>
          <w:lang w:val="es-MX"/>
        </w:rPr>
        <w:t xml:space="preserve">APU base: $69.464,75 </w:t>
      </w:r>
    </w:p>
    <w:p w14:paraId="2287F919" w14:textId="77777777" w:rsidR="00977A6A" w:rsidRPr="00977A6A" w:rsidRDefault="00977A6A" w:rsidP="00977A6A">
      <w:pPr>
        <w:numPr>
          <w:ilvl w:val="0"/>
          <w:numId w:val="6"/>
        </w:numPr>
        <w:jc w:val="both"/>
        <w:rPr>
          <w:rFonts w:ascii="Century Gothic" w:hAnsi="Century Gothic"/>
          <w:sz w:val="20"/>
          <w:szCs w:val="20"/>
          <w:lang w:val="es-MX"/>
        </w:rPr>
      </w:pPr>
      <w:r w:rsidRPr="00977A6A">
        <w:rPr>
          <w:rFonts w:ascii="Century Gothic" w:hAnsi="Century Gothic"/>
          <w:sz w:val="20"/>
          <w:szCs w:val="20"/>
          <w:lang w:val="es-MX"/>
        </w:rPr>
        <w:t xml:space="preserve">Valor con AIU en presupuesto: $96.271,20 </w:t>
      </w:r>
    </w:p>
    <w:p w14:paraId="556BF319" w14:textId="77777777" w:rsidR="00977A6A" w:rsidRPr="00977A6A" w:rsidRDefault="00977A6A" w:rsidP="00977A6A">
      <w:pPr>
        <w:numPr>
          <w:ilvl w:val="0"/>
          <w:numId w:val="6"/>
        </w:numPr>
        <w:jc w:val="both"/>
        <w:rPr>
          <w:rFonts w:ascii="Century Gothic" w:hAnsi="Century Gothic"/>
          <w:sz w:val="20"/>
          <w:szCs w:val="20"/>
          <w:lang w:val="es-MX"/>
        </w:rPr>
      </w:pPr>
      <w:r w:rsidRPr="00977A6A">
        <w:rPr>
          <w:rFonts w:ascii="Century Gothic" w:hAnsi="Century Gothic"/>
          <w:sz w:val="20"/>
          <w:szCs w:val="20"/>
          <w:lang w:val="es-MX"/>
        </w:rPr>
        <w:t xml:space="preserve">Valor consignado en el acta de fijación: presenta diferencia menor </w:t>
      </w:r>
    </w:p>
    <w:p w14:paraId="0D8D72C3" w14:textId="77777777" w:rsidR="000177FD" w:rsidRDefault="00977A6A" w:rsidP="00977A6A">
      <w:pPr>
        <w:jc w:val="both"/>
        <w:rPr>
          <w:rFonts w:ascii="Century Gothic" w:hAnsi="Century Gothic"/>
          <w:b/>
          <w:bCs/>
          <w:sz w:val="20"/>
          <w:szCs w:val="20"/>
          <w:lang w:val="es-MX"/>
        </w:rPr>
      </w:pPr>
      <w:r w:rsidRPr="00977A6A">
        <w:rPr>
          <w:rFonts w:ascii="Century Gothic" w:hAnsi="Century Gothic"/>
          <w:b/>
          <w:bCs/>
          <w:sz w:val="20"/>
          <w:szCs w:val="20"/>
          <w:lang w:val="es-MX"/>
        </w:rPr>
        <w:t>Observación:</w:t>
      </w:r>
    </w:p>
    <w:p w14:paraId="2959D6B5" w14:textId="4569F94A" w:rsidR="00977A6A" w:rsidRPr="00977A6A" w:rsidRDefault="00977A6A" w:rsidP="00977A6A">
      <w:pPr>
        <w:jc w:val="both"/>
        <w:rPr>
          <w:rFonts w:ascii="Century Gothic" w:hAnsi="Century Gothic"/>
          <w:sz w:val="20"/>
          <w:szCs w:val="20"/>
          <w:lang w:val="es-MX"/>
        </w:rPr>
      </w:pPr>
      <w:r w:rsidRPr="00977A6A">
        <w:rPr>
          <w:rFonts w:ascii="Century Gothic" w:hAnsi="Century Gothic"/>
          <w:sz w:val="20"/>
          <w:szCs w:val="20"/>
          <w:lang w:val="es-MX"/>
        </w:rPr>
        <w:br/>
        <w:t xml:space="preserve">Se requiere </w:t>
      </w:r>
      <w:r w:rsidRPr="00977A6A">
        <w:rPr>
          <w:rFonts w:ascii="Century Gothic" w:hAnsi="Century Gothic"/>
          <w:b/>
          <w:bCs/>
          <w:sz w:val="20"/>
          <w:szCs w:val="20"/>
          <w:lang w:val="es-MX"/>
        </w:rPr>
        <w:t>ajustar y unificar documentalmente el valor unitario del ítem NP3</w:t>
      </w:r>
      <w:r w:rsidRPr="00977A6A">
        <w:rPr>
          <w:rFonts w:ascii="Century Gothic" w:hAnsi="Century Gothic"/>
          <w:sz w:val="20"/>
          <w:szCs w:val="20"/>
          <w:lang w:val="es-MX"/>
        </w:rPr>
        <w:t>, garantizando consistencia entre el APU, el acta de fijación de precios y el presupuesto.</w:t>
      </w:r>
    </w:p>
    <w:p w14:paraId="768EA24F" w14:textId="756D71E0" w:rsidR="00977A6A" w:rsidRPr="00977A6A" w:rsidRDefault="00977A6A" w:rsidP="00977A6A">
      <w:pPr>
        <w:jc w:val="both"/>
        <w:rPr>
          <w:rFonts w:ascii="Century Gothic" w:hAnsi="Century Gothic"/>
          <w:sz w:val="20"/>
          <w:szCs w:val="20"/>
          <w:lang w:val="es-MX"/>
        </w:rPr>
      </w:pPr>
    </w:p>
    <w:p w14:paraId="58F5B89E" w14:textId="77777777" w:rsidR="00977A6A" w:rsidRPr="00977A6A" w:rsidRDefault="00977A6A" w:rsidP="00977A6A">
      <w:pPr>
        <w:jc w:val="both"/>
        <w:rPr>
          <w:rFonts w:ascii="Century Gothic" w:hAnsi="Century Gothic"/>
          <w:b/>
          <w:bCs/>
          <w:sz w:val="20"/>
          <w:szCs w:val="20"/>
          <w:lang w:val="es-MX"/>
        </w:rPr>
      </w:pPr>
      <w:r w:rsidRPr="00977A6A">
        <w:rPr>
          <w:rFonts w:ascii="Century Gothic" w:hAnsi="Century Gothic"/>
          <w:b/>
          <w:bCs/>
          <w:sz w:val="20"/>
          <w:szCs w:val="20"/>
          <w:lang w:val="es-MX"/>
        </w:rPr>
        <w:t>4. SOPORTE ESTRUCTURAL DEL REDISEÑO DE LA LOSA</w:t>
      </w:r>
    </w:p>
    <w:p w14:paraId="65B8726B"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sz w:val="20"/>
          <w:szCs w:val="20"/>
          <w:lang w:val="es-MX"/>
        </w:rPr>
        <w:t xml:space="preserve">Aunque el diagnóstico técnico contiene una comparación entre diseño original y propuesto, así como la justificación de los materiales, no se evidencia un </w:t>
      </w:r>
      <w:r w:rsidRPr="00977A6A">
        <w:rPr>
          <w:rFonts w:ascii="Century Gothic" w:hAnsi="Century Gothic"/>
          <w:b/>
          <w:bCs/>
          <w:sz w:val="20"/>
          <w:szCs w:val="20"/>
          <w:lang w:val="es-MX"/>
        </w:rPr>
        <w:t>soporte estructural autónomo</w:t>
      </w:r>
      <w:r w:rsidRPr="00977A6A">
        <w:rPr>
          <w:rFonts w:ascii="Century Gothic" w:hAnsi="Century Gothic"/>
          <w:sz w:val="20"/>
          <w:szCs w:val="20"/>
          <w:lang w:val="es-MX"/>
        </w:rPr>
        <w:t xml:space="preserve"> que valide integralmente el rediseño del elemento, particularmente frente a:</w:t>
      </w:r>
    </w:p>
    <w:p w14:paraId="700A57B9" w14:textId="77777777" w:rsidR="00977A6A" w:rsidRPr="00977A6A" w:rsidRDefault="00977A6A" w:rsidP="00977A6A">
      <w:pPr>
        <w:numPr>
          <w:ilvl w:val="0"/>
          <w:numId w:val="7"/>
        </w:numPr>
        <w:jc w:val="both"/>
        <w:rPr>
          <w:rFonts w:ascii="Century Gothic" w:hAnsi="Century Gothic"/>
          <w:sz w:val="20"/>
          <w:szCs w:val="20"/>
          <w:lang w:val="es-MX"/>
        </w:rPr>
      </w:pPr>
      <w:r w:rsidRPr="00977A6A">
        <w:rPr>
          <w:rFonts w:ascii="Century Gothic" w:hAnsi="Century Gothic"/>
          <w:sz w:val="20"/>
          <w:szCs w:val="20"/>
          <w:lang w:val="es-MX"/>
        </w:rPr>
        <w:t xml:space="preserve">la reducción del espesor de la losa (12 cm a 10 cm), </w:t>
      </w:r>
    </w:p>
    <w:p w14:paraId="57D440C7" w14:textId="77777777" w:rsidR="00977A6A" w:rsidRPr="00977A6A" w:rsidRDefault="00977A6A" w:rsidP="00977A6A">
      <w:pPr>
        <w:numPr>
          <w:ilvl w:val="0"/>
          <w:numId w:val="7"/>
        </w:numPr>
        <w:jc w:val="both"/>
        <w:rPr>
          <w:rFonts w:ascii="Century Gothic" w:hAnsi="Century Gothic"/>
          <w:sz w:val="20"/>
          <w:szCs w:val="20"/>
          <w:lang w:val="es-MX"/>
        </w:rPr>
      </w:pPr>
      <w:r w:rsidRPr="00977A6A">
        <w:rPr>
          <w:rFonts w:ascii="Century Gothic" w:hAnsi="Century Gothic"/>
          <w:sz w:val="20"/>
          <w:szCs w:val="20"/>
          <w:lang w:val="es-MX"/>
        </w:rPr>
        <w:t xml:space="preserve">el incremento de la resistencia del concreto (2500 a 3000 psi), </w:t>
      </w:r>
    </w:p>
    <w:p w14:paraId="04C5F3C7" w14:textId="77777777" w:rsidR="00977A6A" w:rsidRPr="00977A6A" w:rsidRDefault="00977A6A" w:rsidP="00977A6A">
      <w:pPr>
        <w:numPr>
          <w:ilvl w:val="0"/>
          <w:numId w:val="7"/>
        </w:numPr>
        <w:jc w:val="both"/>
        <w:rPr>
          <w:rFonts w:ascii="Century Gothic" w:hAnsi="Century Gothic"/>
          <w:sz w:val="20"/>
          <w:szCs w:val="20"/>
          <w:lang w:val="es-MX"/>
        </w:rPr>
      </w:pPr>
      <w:r w:rsidRPr="00977A6A">
        <w:rPr>
          <w:rFonts w:ascii="Century Gothic" w:hAnsi="Century Gothic"/>
          <w:sz w:val="20"/>
          <w:szCs w:val="20"/>
          <w:lang w:val="es-MX"/>
        </w:rPr>
        <w:t xml:space="preserve">y la interacción con el sistema de refuerzo propuesto. </w:t>
      </w:r>
    </w:p>
    <w:p w14:paraId="3925D8D5"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b/>
          <w:bCs/>
          <w:sz w:val="20"/>
          <w:szCs w:val="20"/>
          <w:lang w:val="es-MX"/>
        </w:rPr>
        <w:t>Observación:</w:t>
      </w:r>
      <w:r w:rsidRPr="00977A6A">
        <w:rPr>
          <w:rFonts w:ascii="Century Gothic" w:hAnsi="Century Gothic"/>
          <w:sz w:val="20"/>
          <w:szCs w:val="20"/>
          <w:lang w:val="es-MX"/>
        </w:rPr>
        <w:br/>
        <w:t xml:space="preserve">Se requiere complementar el expediente con </w:t>
      </w:r>
      <w:r w:rsidRPr="00977A6A">
        <w:rPr>
          <w:rFonts w:ascii="Century Gothic" w:hAnsi="Century Gothic"/>
          <w:b/>
          <w:bCs/>
          <w:sz w:val="20"/>
          <w:szCs w:val="20"/>
          <w:lang w:val="es-MX"/>
        </w:rPr>
        <w:t>soporte técnico estructural específico</w:t>
      </w:r>
      <w:r w:rsidRPr="00977A6A">
        <w:rPr>
          <w:rFonts w:ascii="Century Gothic" w:hAnsi="Century Gothic"/>
          <w:sz w:val="20"/>
          <w:szCs w:val="20"/>
          <w:lang w:val="es-MX"/>
        </w:rPr>
        <w:t xml:space="preserve"> que valide la equivalencia o superioridad de la solución propuesta para la losa, considerando de manera integral la nueva configuración del elemento.</w:t>
      </w:r>
    </w:p>
    <w:p w14:paraId="7BFC3E6A" w14:textId="70653349" w:rsidR="00977A6A" w:rsidRPr="00977A6A" w:rsidRDefault="00977A6A" w:rsidP="00977A6A">
      <w:pPr>
        <w:jc w:val="both"/>
        <w:rPr>
          <w:rFonts w:ascii="Century Gothic" w:hAnsi="Century Gothic"/>
          <w:sz w:val="20"/>
          <w:szCs w:val="20"/>
          <w:lang w:val="es-MX"/>
        </w:rPr>
      </w:pPr>
    </w:p>
    <w:p w14:paraId="16F35CF3" w14:textId="77777777" w:rsidR="00977A6A" w:rsidRPr="00977A6A" w:rsidRDefault="00977A6A" w:rsidP="00977A6A">
      <w:pPr>
        <w:jc w:val="both"/>
        <w:rPr>
          <w:rFonts w:ascii="Century Gothic" w:hAnsi="Century Gothic"/>
          <w:b/>
          <w:bCs/>
          <w:sz w:val="20"/>
          <w:szCs w:val="20"/>
          <w:lang w:val="es-MX"/>
        </w:rPr>
      </w:pPr>
      <w:r w:rsidRPr="00977A6A">
        <w:rPr>
          <w:rFonts w:ascii="Century Gothic" w:hAnsi="Century Gothic"/>
          <w:b/>
          <w:bCs/>
          <w:sz w:val="20"/>
          <w:szCs w:val="20"/>
          <w:lang w:val="es-MX"/>
        </w:rPr>
        <w:t>5. ALCANCE DE LA SUSTITUCIÓN MALLA – FIBRA</w:t>
      </w:r>
    </w:p>
    <w:p w14:paraId="1141943F"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sz w:val="20"/>
          <w:szCs w:val="20"/>
          <w:lang w:val="es-MX"/>
        </w:rPr>
        <w:t xml:space="preserve">El informe técnico de fibra sustenta ventajas del material, dosificación y comportamiento, y el diagnóstico técnico afirma equivalencia estructural; no obstante, el mismo soporte técnico enmarca la fibra como un </w:t>
      </w:r>
      <w:r w:rsidRPr="00977A6A">
        <w:rPr>
          <w:rFonts w:ascii="Century Gothic" w:hAnsi="Century Gothic"/>
          <w:b/>
          <w:bCs/>
          <w:sz w:val="20"/>
          <w:szCs w:val="20"/>
          <w:lang w:val="es-MX"/>
        </w:rPr>
        <w:t>refuerzo asociado al control de fisuración y retracción</w:t>
      </w:r>
      <w:r w:rsidRPr="00977A6A">
        <w:rPr>
          <w:rFonts w:ascii="Century Gothic" w:hAnsi="Century Gothic"/>
          <w:sz w:val="20"/>
          <w:szCs w:val="20"/>
          <w:lang w:val="es-MX"/>
        </w:rPr>
        <w:t>, lo cual genera ambigüedad sobre el alcance de su función dentro del sistema estructural.</w:t>
      </w:r>
    </w:p>
    <w:p w14:paraId="1BE0F0AF" w14:textId="77777777" w:rsidR="00977A6A" w:rsidRPr="00977A6A" w:rsidRDefault="00977A6A" w:rsidP="00977A6A">
      <w:pPr>
        <w:jc w:val="both"/>
        <w:rPr>
          <w:rFonts w:ascii="Century Gothic" w:hAnsi="Century Gothic"/>
          <w:sz w:val="20"/>
          <w:szCs w:val="20"/>
          <w:lang w:val="es-MX"/>
        </w:rPr>
      </w:pPr>
      <w:r w:rsidRPr="00977A6A">
        <w:rPr>
          <w:rFonts w:ascii="Century Gothic" w:hAnsi="Century Gothic"/>
          <w:b/>
          <w:bCs/>
          <w:sz w:val="20"/>
          <w:szCs w:val="20"/>
          <w:lang w:val="es-MX"/>
        </w:rPr>
        <w:t>Observación:</w:t>
      </w:r>
      <w:r w:rsidRPr="00977A6A">
        <w:rPr>
          <w:rFonts w:ascii="Century Gothic" w:hAnsi="Century Gothic"/>
          <w:sz w:val="20"/>
          <w:szCs w:val="20"/>
          <w:lang w:val="es-MX"/>
        </w:rPr>
        <w:br/>
        <w:t xml:space="preserve">Se requiere precisar técnicamente en el expediente el </w:t>
      </w:r>
      <w:r w:rsidRPr="00977A6A">
        <w:rPr>
          <w:rFonts w:ascii="Century Gothic" w:hAnsi="Century Gothic"/>
          <w:b/>
          <w:bCs/>
          <w:sz w:val="20"/>
          <w:szCs w:val="20"/>
          <w:lang w:val="es-MX"/>
        </w:rPr>
        <w:t>alcance de la equivalencia entre la malla electrosoldada y la fibra sintética</w:t>
      </w:r>
      <w:r w:rsidRPr="00977A6A">
        <w:rPr>
          <w:rFonts w:ascii="Century Gothic" w:hAnsi="Century Gothic"/>
          <w:sz w:val="20"/>
          <w:szCs w:val="20"/>
          <w:lang w:val="es-MX"/>
        </w:rPr>
        <w:t>, indicando expresamente si:</w:t>
      </w:r>
    </w:p>
    <w:p w14:paraId="1F7E1B1B" w14:textId="77777777" w:rsidR="00977A6A" w:rsidRPr="00977A6A" w:rsidRDefault="00977A6A" w:rsidP="00977A6A">
      <w:pPr>
        <w:numPr>
          <w:ilvl w:val="0"/>
          <w:numId w:val="8"/>
        </w:numPr>
        <w:jc w:val="both"/>
        <w:rPr>
          <w:rFonts w:ascii="Century Gothic" w:hAnsi="Century Gothic"/>
          <w:sz w:val="20"/>
          <w:szCs w:val="20"/>
          <w:lang w:val="es-MX"/>
        </w:rPr>
      </w:pPr>
      <w:r w:rsidRPr="00977A6A">
        <w:rPr>
          <w:rFonts w:ascii="Century Gothic" w:hAnsi="Century Gothic"/>
          <w:sz w:val="20"/>
          <w:szCs w:val="20"/>
          <w:lang w:val="es-MX"/>
        </w:rPr>
        <w:t xml:space="preserve">la sustitución se justifica como refuerzo secundario de control de fisuración, o </w:t>
      </w:r>
    </w:p>
    <w:p w14:paraId="43E290C2" w14:textId="77777777" w:rsidR="00977A6A" w:rsidRPr="00977A6A" w:rsidRDefault="00977A6A" w:rsidP="00977A6A">
      <w:pPr>
        <w:numPr>
          <w:ilvl w:val="0"/>
          <w:numId w:val="8"/>
        </w:numPr>
        <w:jc w:val="both"/>
        <w:rPr>
          <w:rFonts w:ascii="Century Gothic" w:hAnsi="Century Gothic"/>
          <w:sz w:val="20"/>
          <w:szCs w:val="20"/>
          <w:lang w:val="es-MX"/>
        </w:rPr>
      </w:pPr>
      <w:r w:rsidRPr="00977A6A">
        <w:rPr>
          <w:rFonts w:ascii="Century Gothic" w:hAnsi="Century Gothic"/>
          <w:sz w:val="20"/>
          <w:szCs w:val="20"/>
          <w:lang w:val="es-MX"/>
        </w:rPr>
        <w:t>si se le está atribuyendo función dentro de la equivalencia estructural integral del elemento.</w:t>
      </w:r>
    </w:p>
    <w:p w14:paraId="697D4721" w14:textId="77777777" w:rsidR="00D9739E" w:rsidRPr="00977A6A" w:rsidRDefault="00D9739E" w:rsidP="00977A6A">
      <w:pPr>
        <w:jc w:val="both"/>
        <w:rPr>
          <w:rFonts w:ascii="Century Gothic" w:hAnsi="Century Gothic"/>
          <w:sz w:val="20"/>
          <w:szCs w:val="20"/>
          <w:lang w:val="es-MX"/>
        </w:rPr>
      </w:pPr>
    </w:p>
    <w:sectPr w:rsidR="00D9739E" w:rsidRPr="00977A6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100"/>
    <w:multiLevelType w:val="multilevel"/>
    <w:tmpl w:val="6B8C5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191E58"/>
    <w:multiLevelType w:val="hybridMultilevel"/>
    <w:tmpl w:val="A69AEBD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C126388"/>
    <w:multiLevelType w:val="multilevel"/>
    <w:tmpl w:val="6E68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F20E97"/>
    <w:multiLevelType w:val="multilevel"/>
    <w:tmpl w:val="D41A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9D026D"/>
    <w:multiLevelType w:val="multilevel"/>
    <w:tmpl w:val="7E7E4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661FAF"/>
    <w:multiLevelType w:val="multilevel"/>
    <w:tmpl w:val="71925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0E27F6"/>
    <w:multiLevelType w:val="multilevel"/>
    <w:tmpl w:val="6542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1E5741"/>
    <w:multiLevelType w:val="multilevel"/>
    <w:tmpl w:val="209A0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5821057">
    <w:abstractNumId w:val="3"/>
  </w:num>
  <w:num w:numId="2" w16cid:durableId="943851149">
    <w:abstractNumId w:val="2"/>
  </w:num>
  <w:num w:numId="3" w16cid:durableId="1537500422">
    <w:abstractNumId w:val="0"/>
  </w:num>
  <w:num w:numId="4" w16cid:durableId="190146702">
    <w:abstractNumId w:val="1"/>
  </w:num>
  <w:num w:numId="5" w16cid:durableId="12072153">
    <w:abstractNumId w:val="7"/>
  </w:num>
  <w:num w:numId="6" w16cid:durableId="538055630">
    <w:abstractNumId w:val="4"/>
  </w:num>
  <w:num w:numId="7" w16cid:durableId="1087187138">
    <w:abstractNumId w:val="6"/>
  </w:num>
  <w:num w:numId="8" w16cid:durableId="16386081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39E"/>
    <w:rsid w:val="00011764"/>
    <w:rsid w:val="000177FD"/>
    <w:rsid w:val="00023F03"/>
    <w:rsid w:val="00034A08"/>
    <w:rsid w:val="000722D8"/>
    <w:rsid w:val="000A7F1C"/>
    <w:rsid w:val="000F615F"/>
    <w:rsid w:val="00211655"/>
    <w:rsid w:val="00231E7C"/>
    <w:rsid w:val="0030668A"/>
    <w:rsid w:val="0033564C"/>
    <w:rsid w:val="003376F5"/>
    <w:rsid w:val="00340EF4"/>
    <w:rsid w:val="0034358C"/>
    <w:rsid w:val="003A6630"/>
    <w:rsid w:val="003D3E94"/>
    <w:rsid w:val="003F2013"/>
    <w:rsid w:val="00485891"/>
    <w:rsid w:val="0051180D"/>
    <w:rsid w:val="005406EC"/>
    <w:rsid w:val="00553520"/>
    <w:rsid w:val="005A035C"/>
    <w:rsid w:val="00693FD9"/>
    <w:rsid w:val="007037C8"/>
    <w:rsid w:val="00726A3D"/>
    <w:rsid w:val="007D566D"/>
    <w:rsid w:val="00820135"/>
    <w:rsid w:val="008325ED"/>
    <w:rsid w:val="0086664F"/>
    <w:rsid w:val="00977A6A"/>
    <w:rsid w:val="00A35EAC"/>
    <w:rsid w:val="00B36FC6"/>
    <w:rsid w:val="00BC7189"/>
    <w:rsid w:val="00BC7A0A"/>
    <w:rsid w:val="00C12CD6"/>
    <w:rsid w:val="00C150D5"/>
    <w:rsid w:val="00C552A4"/>
    <w:rsid w:val="00C7611B"/>
    <w:rsid w:val="00CC5DC7"/>
    <w:rsid w:val="00CE26C7"/>
    <w:rsid w:val="00CE3B52"/>
    <w:rsid w:val="00D9739E"/>
    <w:rsid w:val="00DF70AB"/>
    <w:rsid w:val="00E55B2A"/>
    <w:rsid w:val="00EB09DB"/>
    <w:rsid w:val="00F73FE6"/>
    <w:rsid w:val="00FC2CD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DF08E"/>
  <w15:chartTrackingRefBased/>
  <w15:docId w15:val="{6EEF036C-C5AB-41C1-88E0-586C289E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paragraph" w:styleId="Ttulo1">
    <w:name w:val="heading 1"/>
    <w:basedOn w:val="Normal"/>
    <w:next w:val="Normal"/>
    <w:link w:val="Ttulo1Car"/>
    <w:uiPriority w:val="9"/>
    <w:qFormat/>
    <w:rsid w:val="00D973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D973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D9739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D9739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D9739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D973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973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973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973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9739E"/>
    <w:rPr>
      <w:rFonts w:asciiTheme="majorHAnsi" w:eastAsiaTheme="majorEastAsia" w:hAnsiTheme="majorHAnsi" w:cstheme="majorBidi"/>
      <w:color w:val="2F5496" w:themeColor="accent1" w:themeShade="BF"/>
      <w:sz w:val="40"/>
      <w:szCs w:val="40"/>
      <w:lang w:val="es-CO"/>
    </w:rPr>
  </w:style>
  <w:style w:type="character" w:customStyle="1" w:styleId="Ttulo2Car">
    <w:name w:val="Título 2 Car"/>
    <w:basedOn w:val="Fuentedeprrafopredeter"/>
    <w:link w:val="Ttulo2"/>
    <w:uiPriority w:val="9"/>
    <w:semiHidden/>
    <w:rsid w:val="00D9739E"/>
    <w:rPr>
      <w:rFonts w:asciiTheme="majorHAnsi" w:eastAsiaTheme="majorEastAsia" w:hAnsiTheme="majorHAnsi" w:cstheme="majorBidi"/>
      <w:color w:val="2F5496" w:themeColor="accent1" w:themeShade="BF"/>
      <w:sz w:val="32"/>
      <w:szCs w:val="32"/>
      <w:lang w:val="es-CO"/>
    </w:rPr>
  </w:style>
  <w:style w:type="character" w:customStyle="1" w:styleId="Ttulo3Car">
    <w:name w:val="Título 3 Car"/>
    <w:basedOn w:val="Fuentedeprrafopredeter"/>
    <w:link w:val="Ttulo3"/>
    <w:uiPriority w:val="9"/>
    <w:semiHidden/>
    <w:rsid w:val="00D9739E"/>
    <w:rPr>
      <w:rFonts w:eastAsiaTheme="majorEastAsia" w:cstheme="majorBidi"/>
      <w:color w:val="2F5496" w:themeColor="accent1" w:themeShade="BF"/>
      <w:sz w:val="28"/>
      <w:szCs w:val="28"/>
      <w:lang w:val="es-CO"/>
    </w:rPr>
  </w:style>
  <w:style w:type="character" w:customStyle="1" w:styleId="Ttulo4Car">
    <w:name w:val="Título 4 Car"/>
    <w:basedOn w:val="Fuentedeprrafopredeter"/>
    <w:link w:val="Ttulo4"/>
    <w:uiPriority w:val="9"/>
    <w:semiHidden/>
    <w:rsid w:val="00D9739E"/>
    <w:rPr>
      <w:rFonts w:eastAsiaTheme="majorEastAsia" w:cstheme="majorBidi"/>
      <w:i/>
      <w:iCs/>
      <w:color w:val="2F5496" w:themeColor="accent1" w:themeShade="BF"/>
      <w:lang w:val="es-CO"/>
    </w:rPr>
  </w:style>
  <w:style w:type="character" w:customStyle="1" w:styleId="Ttulo5Car">
    <w:name w:val="Título 5 Car"/>
    <w:basedOn w:val="Fuentedeprrafopredeter"/>
    <w:link w:val="Ttulo5"/>
    <w:uiPriority w:val="9"/>
    <w:semiHidden/>
    <w:rsid w:val="00D9739E"/>
    <w:rPr>
      <w:rFonts w:eastAsiaTheme="majorEastAsia" w:cstheme="majorBidi"/>
      <w:color w:val="2F5496" w:themeColor="accent1" w:themeShade="BF"/>
      <w:lang w:val="es-CO"/>
    </w:rPr>
  </w:style>
  <w:style w:type="character" w:customStyle="1" w:styleId="Ttulo6Car">
    <w:name w:val="Título 6 Car"/>
    <w:basedOn w:val="Fuentedeprrafopredeter"/>
    <w:link w:val="Ttulo6"/>
    <w:uiPriority w:val="9"/>
    <w:semiHidden/>
    <w:rsid w:val="00D9739E"/>
    <w:rPr>
      <w:rFonts w:eastAsiaTheme="majorEastAsia" w:cstheme="majorBidi"/>
      <w:i/>
      <w:iCs/>
      <w:color w:val="595959" w:themeColor="text1" w:themeTint="A6"/>
      <w:lang w:val="es-CO"/>
    </w:rPr>
  </w:style>
  <w:style w:type="character" w:customStyle="1" w:styleId="Ttulo7Car">
    <w:name w:val="Título 7 Car"/>
    <w:basedOn w:val="Fuentedeprrafopredeter"/>
    <w:link w:val="Ttulo7"/>
    <w:uiPriority w:val="9"/>
    <w:semiHidden/>
    <w:rsid w:val="00D9739E"/>
    <w:rPr>
      <w:rFonts w:eastAsiaTheme="majorEastAsia" w:cstheme="majorBidi"/>
      <w:color w:val="595959" w:themeColor="text1" w:themeTint="A6"/>
      <w:lang w:val="es-CO"/>
    </w:rPr>
  </w:style>
  <w:style w:type="character" w:customStyle="1" w:styleId="Ttulo8Car">
    <w:name w:val="Título 8 Car"/>
    <w:basedOn w:val="Fuentedeprrafopredeter"/>
    <w:link w:val="Ttulo8"/>
    <w:uiPriority w:val="9"/>
    <w:semiHidden/>
    <w:rsid w:val="00D9739E"/>
    <w:rPr>
      <w:rFonts w:eastAsiaTheme="majorEastAsia" w:cstheme="majorBidi"/>
      <w:i/>
      <w:iCs/>
      <w:color w:val="272727" w:themeColor="text1" w:themeTint="D8"/>
      <w:lang w:val="es-CO"/>
    </w:rPr>
  </w:style>
  <w:style w:type="character" w:customStyle="1" w:styleId="Ttulo9Car">
    <w:name w:val="Título 9 Car"/>
    <w:basedOn w:val="Fuentedeprrafopredeter"/>
    <w:link w:val="Ttulo9"/>
    <w:uiPriority w:val="9"/>
    <w:semiHidden/>
    <w:rsid w:val="00D9739E"/>
    <w:rPr>
      <w:rFonts w:eastAsiaTheme="majorEastAsia" w:cstheme="majorBidi"/>
      <w:color w:val="272727" w:themeColor="text1" w:themeTint="D8"/>
      <w:lang w:val="es-CO"/>
    </w:rPr>
  </w:style>
  <w:style w:type="paragraph" w:styleId="Ttulo">
    <w:name w:val="Title"/>
    <w:basedOn w:val="Normal"/>
    <w:next w:val="Normal"/>
    <w:link w:val="TtuloCar"/>
    <w:uiPriority w:val="10"/>
    <w:qFormat/>
    <w:rsid w:val="00D973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9739E"/>
    <w:rPr>
      <w:rFonts w:asciiTheme="majorHAnsi" w:eastAsiaTheme="majorEastAsia" w:hAnsiTheme="majorHAnsi" w:cstheme="majorBidi"/>
      <w:spacing w:val="-10"/>
      <w:kern w:val="28"/>
      <w:sz w:val="56"/>
      <w:szCs w:val="56"/>
      <w:lang w:val="es-CO"/>
    </w:rPr>
  </w:style>
  <w:style w:type="paragraph" w:styleId="Subttulo">
    <w:name w:val="Subtitle"/>
    <w:basedOn w:val="Normal"/>
    <w:next w:val="Normal"/>
    <w:link w:val="SubttuloCar"/>
    <w:uiPriority w:val="11"/>
    <w:qFormat/>
    <w:rsid w:val="00D973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9739E"/>
    <w:rPr>
      <w:rFonts w:eastAsiaTheme="majorEastAsia" w:cstheme="majorBidi"/>
      <w:color w:val="595959" w:themeColor="text1" w:themeTint="A6"/>
      <w:spacing w:val="15"/>
      <w:sz w:val="28"/>
      <w:szCs w:val="28"/>
      <w:lang w:val="es-CO"/>
    </w:rPr>
  </w:style>
  <w:style w:type="paragraph" w:styleId="Cita">
    <w:name w:val="Quote"/>
    <w:basedOn w:val="Normal"/>
    <w:next w:val="Normal"/>
    <w:link w:val="CitaCar"/>
    <w:uiPriority w:val="29"/>
    <w:qFormat/>
    <w:rsid w:val="00D9739E"/>
    <w:pPr>
      <w:spacing w:before="160"/>
      <w:jc w:val="center"/>
    </w:pPr>
    <w:rPr>
      <w:i/>
      <w:iCs/>
      <w:color w:val="404040" w:themeColor="text1" w:themeTint="BF"/>
    </w:rPr>
  </w:style>
  <w:style w:type="character" w:customStyle="1" w:styleId="CitaCar">
    <w:name w:val="Cita Car"/>
    <w:basedOn w:val="Fuentedeprrafopredeter"/>
    <w:link w:val="Cita"/>
    <w:uiPriority w:val="29"/>
    <w:rsid w:val="00D9739E"/>
    <w:rPr>
      <w:i/>
      <w:iCs/>
      <w:color w:val="404040" w:themeColor="text1" w:themeTint="BF"/>
      <w:lang w:val="es-CO"/>
    </w:rPr>
  </w:style>
  <w:style w:type="paragraph" w:styleId="Prrafodelista">
    <w:name w:val="List Paragraph"/>
    <w:basedOn w:val="Normal"/>
    <w:uiPriority w:val="34"/>
    <w:qFormat/>
    <w:rsid w:val="00D9739E"/>
    <w:pPr>
      <w:ind w:left="720"/>
      <w:contextualSpacing/>
    </w:pPr>
  </w:style>
  <w:style w:type="character" w:styleId="nfasisintenso">
    <w:name w:val="Intense Emphasis"/>
    <w:basedOn w:val="Fuentedeprrafopredeter"/>
    <w:uiPriority w:val="21"/>
    <w:qFormat/>
    <w:rsid w:val="00D9739E"/>
    <w:rPr>
      <w:i/>
      <w:iCs/>
      <w:color w:val="2F5496" w:themeColor="accent1" w:themeShade="BF"/>
    </w:rPr>
  </w:style>
  <w:style w:type="paragraph" w:styleId="Citadestacada">
    <w:name w:val="Intense Quote"/>
    <w:basedOn w:val="Normal"/>
    <w:next w:val="Normal"/>
    <w:link w:val="CitadestacadaCar"/>
    <w:uiPriority w:val="30"/>
    <w:qFormat/>
    <w:rsid w:val="00D973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9739E"/>
    <w:rPr>
      <w:i/>
      <w:iCs/>
      <w:color w:val="2F5496" w:themeColor="accent1" w:themeShade="BF"/>
      <w:lang w:val="es-CO"/>
    </w:rPr>
  </w:style>
  <w:style w:type="character" w:styleId="Referenciaintensa">
    <w:name w:val="Intense Reference"/>
    <w:basedOn w:val="Fuentedeprrafopredeter"/>
    <w:uiPriority w:val="32"/>
    <w:qFormat/>
    <w:rsid w:val="00D9739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898</Words>
  <Characters>4944</Characters>
  <Application>Microsoft Office Word</Application>
  <DocSecurity>0</DocSecurity>
  <Lines>41</Lines>
  <Paragraphs>11</Paragraphs>
  <ScaleCrop>false</ScaleCrop>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Zayra Daniela Casas Lozano</dc:creator>
  <cp:keywords/>
  <dc:description/>
  <cp:lastModifiedBy>Zayra Daniela Casas Lozano</cp:lastModifiedBy>
  <cp:revision>3</cp:revision>
  <dcterms:created xsi:type="dcterms:W3CDTF">2026-04-09T11:05:00Z</dcterms:created>
  <dcterms:modified xsi:type="dcterms:W3CDTF">2026-04-09T11:26:00Z</dcterms:modified>
</cp:coreProperties>
</file>